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text" w:horzAnchor="page" w:tblpX="480" w:tblpY="528"/>
        <w:tblOverlap w:val="never"/>
        <w:tblW w:w="103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6"/>
        <w:gridCol w:w="2340"/>
        <w:gridCol w:w="536"/>
        <w:gridCol w:w="2876"/>
        <w:gridCol w:w="776"/>
        <w:gridCol w:w="971"/>
        <w:gridCol w:w="953"/>
        <w:gridCol w:w="993"/>
        <w:gridCol w:w="496"/>
      </w:tblGrid>
      <w:tr w14:paraId="358BE8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96" w:type="dxa"/>
            <w:gridSpan w:val="2"/>
            <w:vAlign w:val="center"/>
          </w:tcPr>
          <w:p w14:paraId="7F70D919">
            <w:pPr>
              <w:spacing w:line="590" w:lineRule="exact"/>
              <w:ind w:firstLine="0"/>
              <w:jc w:val="center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奖励种类</w:t>
            </w:r>
          </w:p>
        </w:tc>
        <w:tc>
          <w:tcPr>
            <w:tcW w:w="7601" w:type="dxa"/>
            <w:gridSpan w:val="7"/>
            <w:vAlign w:val="center"/>
          </w:tcPr>
          <w:p w14:paraId="7E9CDDC3">
            <w:pPr>
              <w:spacing w:line="590" w:lineRule="exact"/>
              <w:ind w:firstLine="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江苏省科学技术奖</w:t>
            </w:r>
          </w:p>
        </w:tc>
      </w:tr>
      <w:tr w14:paraId="06ED14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96" w:type="dxa"/>
            <w:gridSpan w:val="2"/>
            <w:vAlign w:val="center"/>
          </w:tcPr>
          <w:p w14:paraId="603E5339">
            <w:pPr>
              <w:spacing w:line="590" w:lineRule="exact"/>
              <w:ind w:firstLine="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拟提名者</w:t>
            </w:r>
          </w:p>
        </w:tc>
        <w:tc>
          <w:tcPr>
            <w:tcW w:w="7601" w:type="dxa"/>
            <w:gridSpan w:val="7"/>
            <w:vAlign w:val="center"/>
          </w:tcPr>
          <w:p w14:paraId="57E4862C">
            <w:pPr>
              <w:spacing w:line="590" w:lineRule="exact"/>
              <w:ind w:firstLine="0"/>
              <w:jc w:val="center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姜晓宏</w:t>
            </w:r>
          </w:p>
        </w:tc>
      </w:tr>
      <w:tr w14:paraId="6FC59E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96" w:type="dxa"/>
            <w:gridSpan w:val="2"/>
            <w:vAlign w:val="center"/>
          </w:tcPr>
          <w:p w14:paraId="73658E4A">
            <w:pPr>
              <w:spacing w:line="590" w:lineRule="exact"/>
              <w:ind w:firstLine="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项目名称</w:t>
            </w:r>
          </w:p>
        </w:tc>
        <w:tc>
          <w:tcPr>
            <w:tcW w:w="7601" w:type="dxa"/>
            <w:gridSpan w:val="7"/>
            <w:vAlign w:val="center"/>
          </w:tcPr>
          <w:p w14:paraId="338EFF7B">
            <w:pPr>
              <w:spacing w:line="590" w:lineRule="exact"/>
              <w:ind w:firstLine="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缺血性心脏病的发病机制和治疗技术的创新性研究</w:t>
            </w:r>
          </w:p>
        </w:tc>
      </w:tr>
      <w:tr w14:paraId="513CCC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96" w:type="dxa"/>
            <w:gridSpan w:val="2"/>
            <w:vAlign w:val="center"/>
          </w:tcPr>
          <w:p w14:paraId="543E9088"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主要完成人</w:t>
            </w:r>
          </w:p>
          <w:p w14:paraId="5D1089A9"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（完成单位）</w:t>
            </w:r>
          </w:p>
        </w:tc>
        <w:tc>
          <w:tcPr>
            <w:tcW w:w="7601" w:type="dxa"/>
            <w:gridSpan w:val="7"/>
            <w:vAlign w:val="center"/>
          </w:tcPr>
          <w:p w14:paraId="0E86C0E4">
            <w:pPr>
              <w:spacing w:line="590" w:lineRule="exact"/>
              <w:ind w:firstLine="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王东进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南京大学医学院附属鼓楼医院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），</w:t>
            </w:r>
          </w:p>
          <w:p w14:paraId="60B4A28F">
            <w:pPr>
              <w:spacing w:line="590" w:lineRule="exact"/>
              <w:ind w:firstLine="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薛云星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南京大学医学院附属鼓楼医院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）</w:t>
            </w:r>
          </w:p>
          <w:p w14:paraId="061AE79B">
            <w:pPr>
              <w:spacing w:line="590" w:lineRule="exact"/>
              <w:ind w:firstLine="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姜晓宏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（南京大学）、</w:t>
            </w:r>
          </w:p>
          <w:p w14:paraId="0DD109A1">
            <w:pPr>
              <w:spacing w:line="590" w:lineRule="exact"/>
              <w:ind w:firstLine="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徐灿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南京大学医学院附属鼓楼医院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）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、</w:t>
            </w:r>
          </w:p>
          <w:p w14:paraId="4C9CC1BA">
            <w:pPr>
              <w:spacing w:line="590" w:lineRule="exact"/>
              <w:ind w:firstLine="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孔垂玉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南京大学医学院附属鼓楼医院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）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、</w:t>
            </w:r>
          </w:p>
          <w:p w14:paraId="737FC8C5">
            <w:pPr>
              <w:spacing w:line="590" w:lineRule="exact"/>
              <w:ind w:firstLine="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潘沱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南京大学医学院附属鼓楼医院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）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、</w:t>
            </w:r>
          </w:p>
          <w:p w14:paraId="54762CBD">
            <w:pPr>
              <w:spacing w:line="590" w:lineRule="exact"/>
              <w:ind w:firstLine="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戴建武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中国科学院遗传与发育生物学研究所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）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、</w:t>
            </w:r>
          </w:p>
          <w:p w14:paraId="2A46B939">
            <w:pPr>
              <w:spacing w:line="590" w:lineRule="exact"/>
              <w:ind w:firstLine="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王强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南京大学医学院附属鼓楼医院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）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、</w:t>
            </w:r>
          </w:p>
          <w:p w14:paraId="5D4C2BB0">
            <w:pPr>
              <w:spacing w:line="590" w:lineRule="exact"/>
              <w:ind w:firstLine="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庄皓舜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南京大学医学院附属鼓楼医院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）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、</w:t>
            </w:r>
          </w:p>
          <w:p w14:paraId="4BEC8167">
            <w:pPr>
              <w:spacing w:line="590" w:lineRule="exact"/>
              <w:ind w:firstLine="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张赫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南京大学医学院附属鼓楼医院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）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、</w:t>
            </w:r>
          </w:p>
          <w:p w14:paraId="7F276257">
            <w:pPr>
              <w:spacing w:line="590" w:lineRule="exact"/>
              <w:ind w:firstLine="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朱悉煜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南京大学医学院附属鼓楼医院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）</w:t>
            </w:r>
          </w:p>
        </w:tc>
      </w:tr>
      <w:tr w14:paraId="023157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96" w:type="dxa"/>
            <w:gridSpan w:val="2"/>
            <w:vAlign w:val="center"/>
          </w:tcPr>
          <w:p w14:paraId="40464807">
            <w:pPr>
              <w:spacing w:line="590" w:lineRule="exact"/>
              <w:ind w:firstLine="0"/>
              <w:jc w:val="center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完成单位</w:t>
            </w:r>
          </w:p>
        </w:tc>
        <w:tc>
          <w:tcPr>
            <w:tcW w:w="7601" w:type="dxa"/>
            <w:gridSpan w:val="7"/>
            <w:vAlign w:val="center"/>
          </w:tcPr>
          <w:p w14:paraId="138B6B67">
            <w:pPr>
              <w:widowControl/>
              <w:jc w:val="lef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南京大学医学院附属鼓楼医院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南京大学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中国科学院遗传与发育生物学研究所</w:t>
            </w:r>
          </w:p>
        </w:tc>
      </w:tr>
      <w:tr w14:paraId="47723E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96" w:type="dxa"/>
            <w:gridSpan w:val="2"/>
            <w:vAlign w:val="center"/>
          </w:tcPr>
          <w:p w14:paraId="220FF1F7"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项目简介</w:t>
            </w:r>
          </w:p>
        </w:tc>
        <w:tc>
          <w:tcPr>
            <w:tcW w:w="7601" w:type="dxa"/>
            <w:gridSpan w:val="7"/>
            <w:vAlign w:val="center"/>
          </w:tcPr>
          <w:p w14:paraId="1959FA9E">
            <w:pPr>
              <w:spacing w:line="590" w:lineRule="exact"/>
              <w:ind w:firstLine="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缺血性心脏病是心血管疾病死因之首，发病率逐年提高。目前外科治疗缺乏新的治疗理念和方式；外科手术技术和术后管理亟需创新；发病机制不清，缺乏新的动物模型和有效干预靶点。为此，本项目聚焦于缺血性心脏病发病机制和外科治疗瓶颈的创新点如下：</w:t>
            </w:r>
          </w:p>
          <w:p w14:paraId="2D759580">
            <w:pPr>
              <w:spacing w:line="590" w:lineRule="exact"/>
              <w:ind w:firstLine="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创新点1. 临床研究验证干细胞治疗缺血性心脏病的安全性和有效性</w:t>
            </w:r>
          </w:p>
          <w:p w14:paraId="4B97B59F">
            <w:pPr>
              <w:spacing w:line="590" w:lineRule="exact"/>
              <w:ind w:firstLine="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    创新性地利用胶原搭载间充质干细胞，从心梗的动物模型和心肌梗死患者的随机对照临床试验，验证了其安全性及有效性，术后1年随访的患者心功能的提升率从3.62%提高至9.35%，该成果发表于JAMA Netw Open。并且利用iPSC诱导分化的心肌细胞作为治疗心肌梗死后缺血性心脏病的细胞来源，开展了国内首项iPSC诱导分化心肌细胞治疗缺血性心脏病的随机对照临床试验，验证了干细胞注射联合冠脉搭桥术的安全性和有效性，术后2年随访的患者心功能从原来的28%提升至47%，该成果发表于JACC Basic Transl Sci。基于间充质干细胞以及iPSC诱导分化的心肌细胞的安全性和有效性，为缺血性心脏病的治疗提供新的理念和方式。</w:t>
            </w:r>
          </w:p>
          <w:p w14:paraId="66AEE44C">
            <w:pPr>
              <w:spacing w:line="590" w:lineRule="exact"/>
              <w:ind w:firstLine="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创新点2. 改良和创新多种缺血性心肌病的外科治疗手段和术后管理</w:t>
            </w:r>
          </w:p>
          <w:p w14:paraId="5C5D7049">
            <w:pPr>
              <w:spacing w:line="590" w:lineRule="exact"/>
              <w:ind w:firstLine="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    创新性的提出了室壁瘤的改良重建、合并室间隔穿孔的修复、缺血性二尖瓣反流的修复等技术。研制了一种高效抑菌微创大隐静脉采集装置（ZL202211081512.6），并进行成果转化1000万元。开展了西维来司他钠在心脏术后的并发症的治疗的临床研究，其心脏术后急性呼吸窘迫综合征的发生率从31.2%降低至16.8%。</w:t>
            </w:r>
          </w:p>
          <w:p w14:paraId="393C1B0D">
            <w:pPr>
              <w:spacing w:line="590" w:lineRule="exact"/>
              <w:ind w:firstLine="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创新点3. 分子水平探索缺血性心脏病的发病机制并构建新的动物模型</w:t>
            </w:r>
          </w:p>
          <w:p w14:paraId="3BC60D87">
            <w:pPr>
              <w:spacing w:line="590" w:lineRule="exact"/>
              <w:ind w:firstLine="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    探索并验证了PGC-1α的作用及机制，并且研发了PGC-1α的转基因兔子模型，为缺血性心脏病的基础和转化研究提供了新的动物模型。并且探索了非编码RNA在心肌梗死中的作用及机制，其有效干预药物薯蓣皂苷能够提高心梗后的心功能，并有望转化为临床治疗策略。</w:t>
            </w:r>
          </w:p>
          <w:p w14:paraId="2B8BAE26">
            <w:pPr>
              <w:spacing w:line="590" w:lineRule="exact"/>
              <w:ind w:firstLine="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该项目授权发明专利4项，相关专利已经转化并获批国际专利。发表学术论文6篇，系列成果发表在Circulation Research、JAMA Network Open、JACC Basic Transl Sci等高水平期刊。该项目在全国多家医院及中心应用并取得良好效果，推动了我院心脏外科成为江苏省重点学科、临床重点专科；培养国家青年人才1人，江苏省双创博士4人，南京市医学杰出青年人才1人，培养研究生35名，为提升我国缺血性心脏疾病的外科手术治疗方式提供新的方案。</w:t>
            </w:r>
          </w:p>
        </w:tc>
      </w:tr>
      <w:tr w14:paraId="310BEE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97" w:type="dxa"/>
            <w:gridSpan w:val="9"/>
            <w:vAlign w:val="center"/>
          </w:tcPr>
          <w:p w14:paraId="0BFE26C2">
            <w:pPr>
              <w:spacing w:line="590" w:lineRule="exact"/>
              <w:ind w:firstLine="0"/>
              <w:jc w:val="center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代表性论文（专著）目录</w:t>
            </w:r>
          </w:p>
        </w:tc>
      </w:tr>
      <w:tr w14:paraId="2BE45F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  <w:tcMar>
              <w:left w:w="28" w:type="dxa"/>
              <w:right w:w="28" w:type="dxa"/>
            </w:tcMar>
            <w:vAlign w:val="center"/>
          </w:tcPr>
          <w:p w14:paraId="5CAA7F2E"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序号</w:t>
            </w:r>
          </w:p>
        </w:tc>
        <w:tc>
          <w:tcPr>
            <w:tcW w:w="2876" w:type="dxa"/>
            <w:gridSpan w:val="2"/>
            <w:tcMar>
              <w:left w:w="28" w:type="dxa"/>
              <w:right w:w="28" w:type="dxa"/>
            </w:tcMar>
            <w:vAlign w:val="center"/>
          </w:tcPr>
          <w:p w14:paraId="1C073F7D"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论文（专著）名称/刊名/作者</w:t>
            </w:r>
          </w:p>
        </w:tc>
        <w:tc>
          <w:tcPr>
            <w:tcW w:w="2876" w:type="dxa"/>
            <w:tcMar>
              <w:left w:w="28" w:type="dxa"/>
              <w:right w:w="28" w:type="dxa"/>
            </w:tcMar>
            <w:vAlign w:val="center"/>
          </w:tcPr>
          <w:p w14:paraId="6D3E153C"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年卷页码（xx 年xx 卷xx 页）</w:t>
            </w:r>
          </w:p>
        </w:tc>
        <w:tc>
          <w:tcPr>
            <w:tcW w:w="776" w:type="dxa"/>
            <w:tcMar>
              <w:left w:w="28" w:type="dxa"/>
              <w:right w:w="28" w:type="dxa"/>
            </w:tcMar>
            <w:vAlign w:val="center"/>
          </w:tcPr>
          <w:p w14:paraId="7A7B0EF3"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发表时间</w:t>
            </w:r>
          </w:p>
          <w:p w14:paraId="2836CE1F"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971" w:type="dxa"/>
            <w:tcMar>
              <w:left w:w="28" w:type="dxa"/>
              <w:right w:w="28" w:type="dxa"/>
            </w:tcMar>
            <w:vAlign w:val="center"/>
          </w:tcPr>
          <w:p w14:paraId="1D4ECD07"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通讯作者</w:t>
            </w:r>
          </w:p>
          <w:p w14:paraId="653A96E3"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（含共同）</w:t>
            </w:r>
          </w:p>
        </w:tc>
        <w:tc>
          <w:tcPr>
            <w:tcW w:w="953" w:type="dxa"/>
            <w:tcMar>
              <w:left w:w="28" w:type="dxa"/>
              <w:right w:w="28" w:type="dxa"/>
            </w:tcMar>
            <w:vAlign w:val="center"/>
          </w:tcPr>
          <w:p w14:paraId="185A4D7F"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第一作者</w:t>
            </w:r>
          </w:p>
          <w:p w14:paraId="3B552B98"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（含共同）</w:t>
            </w:r>
          </w:p>
        </w:tc>
        <w:tc>
          <w:tcPr>
            <w:tcW w:w="993" w:type="dxa"/>
            <w:tcMar>
              <w:left w:w="28" w:type="dxa"/>
              <w:right w:w="28" w:type="dxa"/>
            </w:tcMar>
            <w:vAlign w:val="center"/>
          </w:tcPr>
          <w:p w14:paraId="795A5ED4"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国内作者</w:t>
            </w:r>
          </w:p>
        </w:tc>
        <w:tc>
          <w:tcPr>
            <w:tcW w:w="496" w:type="dxa"/>
            <w:tcMar>
              <w:left w:w="28" w:type="dxa"/>
              <w:right w:w="28" w:type="dxa"/>
            </w:tcMar>
            <w:vAlign w:val="center"/>
          </w:tcPr>
          <w:p w14:paraId="1CA40797"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论文署名单位是否包含国外单位</w:t>
            </w:r>
          </w:p>
        </w:tc>
      </w:tr>
      <w:tr w14:paraId="55B3A9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  <w:vAlign w:val="center"/>
          </w:tcPr>
          <w:p w14:paraId="37BF78BA"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1</w:t>
            </w:r>
          </w:p>
        </w:tc>
        <w:tc>
          <w:tcPr>
            <w:tcW w:w="2876" w:type="dxa"/>
            <w:gridSpan w:val="2"/>
            <w:vAlign w:val="center"/>
          </w:tcPr>
          <w:p w14:paraId="7469B8A2"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  <w:p w14:paraId="0F13EA87"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Effect of Intramyocardial Grafting Collagen Scaffold With Mesenchymal Stromal Cells in Patients With Chronic Ischemic Heart Disease A Randomized Clinical Trial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 </w:t>
            </w:r>
          </w:p>
        </w:tc>
        <w:tc>
          <w:tcPr>
            <w:tcW w:w="2876" w:type="dxa"/>
            <w:vAlign w:val="center"/>
          </w:tcPr>
          <w:p w14:paraId="741F74E2"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2020,3(9):e2016236</w:t>
            </w:r>
          </w:p>
        </w:tc>
        <w:tc>
          <w:tcPr>
            <w:tcW w:w="776" w:type="dxa"/>
            <w:vAlign w:val="center"/>
          </w:tcPr>
          <w:p w14:paraId="318E4618"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20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20</w:t>
            </w:r>
          </w:p>
        </w:tc>
        <w:tc>
          <w:tcPr>
            <w:tcW w:w="971" w:type="dxa"/>
            <w:vAlign w:val="center"/>
          </w:tcPr>
          <w:p w14:paraId="2B1260FA">
            <w:pPr>
              <w:spacing w:line="240" w:lineRule="auto"/>
              <w:ind w:firstLine="0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Style w:val="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spacing w:val="0"/>
                <w:sz w:val="28"/>
                <w:szCs w:val="28"/>
                <w:bdr w:val="none" w:color="auto" w:sz="0" w:space="0"/>
                <w:shd w:val="clear" w:fill="FFFFFF"/>
                <w:vertAlign w:val="baseline"/>
              </w:rPr>
              <w:t>王东进，戴建武</w:t>
            </w:r>
          </w:p>
        </w:tc>
        <w:tc>
          <w:tcPr>
            <w:tcW w:w="953" w:type="dxa"/>
            <w:vAlign w:val="center"/>
          </w:tcPr>
          <w:p w14:paraId="298C2C4D"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何孝军，王强，赵燕南</w:t>
            </w:r>
          </w:p>
        </w:tc>
        <w:tc>
          <w:tcPr>
            <w:tcW w:w="993" w:type="dxa"/>
            <w:vAlign w:val="center"/>
          </w:tcPr>
          <w:p w14:paraId="1C21538D"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何孝军，王强，赵燕南，张赫，王斌，潘俊，李捷，余鸿鸣，王留娣，戴建武，王东进</w:t>
            </w:r>
          </w:p>
        </w:tc>
        <w:tc>
          <w:tcPr>
            <w:tcW w:w="496" w:type="dxa"/>
            <w:vAlign w:val="center"/>
          </w:tcPr>
          <w:p w14:paraId="5E515598"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否</w:t>
            </w:r>
          </w:p>
        </w:tc>
      </w:tr>
      <w:tr w14:paraId="0E9565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  <w:vAlign w:val="center"/>
          </w:tcPr>
          <w:p w14:paraId="77B1A1FC"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2</w:t>
            </w:r>
          </w:p>
        </w:tc>
        <w:tc>
          <w:tcPr>
            <w:tcW w:w="2876" w:type="dxa"/>
            <w:gridSpan w:val="2"/>
            <w:vAlign w:val="center"/>
          </w:tcPr>
          <w:p w14:paraId="0794E742"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Style w:val="6"/>
                <w:rFonts w:hint="eastAsia" w:ascii="宋体" w:hAnsi="宋体" w:eastAsia="宋体" w:cs="宋体"/>
                <w:sz w:val="28"/>
                <w:szCs w:val="28"/>
              </w:rPr>
              <w:t>急性心肌梗死合并室间隔穿孔外科手术治疗</w:t>
            </w:r>
          </w:p>
        </w:tc>
        <w:tc>
          <w:tcPr>
            <w:tcW w:w="2876" w:type="dxa"/>
            <w:vAlign w:val="center"/>
          </w:tcPr>
          <w:p w14:paraId="71C303C0"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2020,36(4),218-221</w:t>
            </w:r>
          </w:p>
        </w:tc>
        <w:tc>
          <w:tcPr>
            <w:tcW w:w="776" w:type="dxa"/>
            <w:vAlign w:val="center"/>
          </w:tcPr>
          <w:p w14:paraId="482ACA48"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20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20</w:t>
            </w:r>
          </w:p>
        </w:tc>
        <w:tc>
          <w:tcPr>
            <w:tcW w:w="971" w:type="dxa"/>
            <w:vAlign w:val="top"/>
          </w:tcPr>
          <w:p w14:paraId="4F235507">
            <w:pPr>
              <w:spacing w:after="0" w:line="240" w:lineRule="auto"/>
              <w:ind w:left="0" w:leftChars="0" w:firstLine="0" w:firstLineChars="0"/>
              <w:jc w:val="lef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sz w:val="28"/>
                <w:szCs w:val="28"/>
              </w:rPr>
              <w:t>王东进</w:t>
            </w:r>
          </w:p>
        </w:tc>
        <w:tc>
          <w:tcPr>
            <w:tcW w:w="953" w:type="dxa"/>
            <w:vAlign w:val="top"/>
          </w:tcPr>
          <w:p w14:paraId="3BDE89D4">
            <w:pPr>
              <w:spacing w:after="0" w:line="240" w:lineRule="auto"/>
              <w:ind w:left="0" w:leftChars="0" w:firstLine="0" w:firstLineChars="0"/>
              <w:jc w:val="lef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sz w:val="28"/>
                <w:szCs w:val="28"/>
              </w:rPr>
              <w:t>薛云星</w:t>
            </w:r>
          </w:p>
        </w:tc>
        <w:tc>
          <w:tcPr>
            <w:tcW w:w="993" w:type="dxa"/>
            <w:vAlign w:val="top"/>
          </w:tcPr>
          <w:p w14:paraId="502A700B">
            <w:pPr>
              <w:spacing w:after="0" w:line="240" w:lineRule="auto"/>
              <w:ind w:left="0" w:leftChars="0" w:firstLine="0" w:firstLineChars="0"/>
              <w:jc w:val="lef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sz w:val="28"/>
                <w:szCs w:val="28"/>
              </w:rPr>
              <w:t>薛云星，周庆，庄皓舜，朱悉煜，王东进</w:t>
            </w:r>
          </w:p>
        </w:tc>
        <w:tc>
          <w:tcPr>
            <w:tcW w:w="496" w:type="dxa"/>
            <w:vAlign w:val="center"/>
          </w:tcPr>
          <w:p w14:paraId="0AA08D7E"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否</w:t>
            </w:r>
          </w:p>
        </w:tc>
      </w:tr>
      <w:tr w14:paraId="595285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  <w:vAlign w:val="center"/>
          </w:tcPr>
          <w:p w14:paraId="590536FF"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3</w:t>
            </w:r>
          </w:p>
        </w:tc>
        <w:tc>
          <w:tcPr>
            <w:tcW w:w="2876" w:type="dxa"/>
            <w:gridSpan w:val="2"/>
            <w:vAlign w:val="center"/>
          </w:tcPr>
          <w:p w14:paraId="07A4C4D3"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Style w:val="6"/>
                <w:rFonts w:hint="eastAsia" w:ascii="宋体" w:hAnsi="宋体" w:eastAsia="宋体" w:cs="宋体"/>
                <w:sz w:val="28"/>
                <w:szCs w:val="28"/>
              </w:rPr>
              <w:t>Sivelestat and Incidence of Acute Respiratory Distress Syndrome After Cardiovascular Surgery: A Randomized Clinical Trial</w:t>
            </w:r>
          </w:p>
        </w:tc>
        <w:tc>
          <w:tcPr>
            <w:tcW w:w="2876" w:type="dxa"/>
            <w:vAlign w:val="center"/>
          </w:tcPr>
          <w:p w14:paraId="02CB39E5"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2026</w:t>
            </w:r>
            <w:r>
              <w:rPr>
                <w:rFonts w:hint="eastAsia" w:ascii="宋体" w:hAnsi="宋体" w:eastAsia="宋体" w:cs="宋体"/>
                <w:color w:val="5B616B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9(3):e260390.</w:t>
            </w:r>
          </w:p>
        </w:tc>
        <w:tc>
          <w:tcPr>
            <w:tcW w:w="776" w:type="dxa"/>
            <w:vAlign w:val="center"/>
          </w:tcPr>
          <w:p w14:paraId="073179F9"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20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26</w:t>
            </w:r>
          </w:p>
        </w:tc>
        <w:tc>
          <w:tcPr>
            <w:tcW w:w="971" w:type="dxa"/>
            <w:vAlign w:val="top"/>
          </w:tcPr>
          <w:p w14:paraId="3BD7C23D">
            <w:pPr>
              <w:spacing w:after="0" w:line="240" w:lineRule="auto"/>
              <w:ind w:left="0" w:leftChars="0" w:firstLine="0" w:firstLineChars="0"/>
              <w:jc w:val="left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</w:rPr>
            </w:pPr>
            <w:r>
              <w:rPr>
                <w:rStyle w:val="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spacing w:val="0"/>
                <w:sz w:val="28"/>
                <w:szCs w:val="28"/>
                <w:bdr w:val="none" w:color="auto" w:sz="0" w:space="0"/>
                <w:shd w:val="clear" w:fill="FFFFFF"/>
                <w:vertAlign w:val="baseline"/>
              </w:rPr>
              <w:t>王强，Jason Z Qu</w:t>
            </w:r>
          </w:p>
        </w:tc>
        <w:tc>
          <w:tcPr>
            <w:tcW w:w="953" w:type="dxa"/>
            <w:vAlign w:val="top"/>
          </w:tcPr>
          <w:p w14:paraId="27E0D387">
            <w:pPr>
              <w:spacing w:after="0" w:line="240" w:lineRule="auto"/>
              <w:ind w:left="0" w:leftChars="0" w:firstLine="0" w:firstLineChars="0"/>
              <w:jc w:val="left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</w:rPr>
            </w:pPr>
            <w:r>
              <w:rPr>
                <w:rStyle w:val="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spacing w:val="0"/>
                <w:sz w:val="28"/>
                <w:szCs w:val="28"/>
                <w:bdr w:val="none" w:color="auto" w:sz="0" w:space="0"/>
                <w:shd w:val="clear" w:fill="FFFFFF"/>
                <w:vertAlign w:val="baseline"/>
              </w:rPr>
              <w:t>潘沱，徐灿，王亚朋，王卉丽</w:t>
            </w:r>
          </w:p>
        </w:tc>
        <w:tc>
          <w:tcPr>
            <w:tcW w:w="993" w:type="dxa"/>
            <w:vAlign w:val="top"/>
          </w:tcPr>
          <w:p w14:paraId="3E682B55">
            <w:pPr>
              <w:spacing w:after="0" w:line="240" w:lineRule="auto"/>
              <w:ind w:left="0" w:leftChars="0" w:firstLine="0" w:firstLineChars="0"/>
              <w:jc w:val="lef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sz w:val="28"/>
                <w:szCs w:val="28"/>
              </w:rPr>
              <w:t>潘沱，徐灿，王亚朋，王卉丽，苏鑫雯，张海涛，朱二军，李永涛，吕智康，朱通通，徐志伟，高阳，许传张，史坚，季文杰，段泽华，张诚，徐贞俊，李坤生，庄皓舜，朱悉煜，薛云星，许万紫，陈成，赵玮玮，叶家欣，葛敏，徐高俊，吴淑敏，潘俊，王东进，屈振生，王强</w:t>
            </w:r>
          </w:p>
        </w:tc>
        <w:tc>
          <w:tcPr>
            <w:tcW w:w="496" w:type="dxa"/>
            <w:vAlign w:val="center"/>
          </w:tcPr>
          <w:p w14:paraId="74EF73DC"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否</w:t>
            </w:r>
          </w:p>
        </w:tc>
      </w:tr>
      <w:tr w14:paraId="4F80B3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  <w:vAlign w:val="center"/>
          </w:tcPr>
          <w:p w14:paraId="4F244580"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4</w:t>
            </w:r>
          </w:p>
        </w:tc>
        <w:tc>
          <w:tcPr>
            <w:tcW w:w="2876" w:type="dxa"/>
            <w:gridSpan w:val="2"/>
            <w:vAlign w:val="center"/>
          </w:tcPr>
          <w:p w14:paraId="22BB83AE"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Style w:val="6"/>
                <w:rFonts w:hint="eastAsia" w:ascii="宋体" w:hAnsi="宋体" w:eastAsia="宋体" w:cs="宋体"/>
                <w:sz w:val="28"/>
                <w:szCs w:val="28"/>
              </w:rPr>
              <w:t>Smooth Muscle Overexpression of PGC1α Attenuates Atherosclerosis in Rabbits</w:t>
            </w:r>
          </w:p>
        </w:tc>
        <w:tc>
          <w:tcPr>
            <w:tcW w:w="2876" w:type="dxa"/>
            <w:vAlign w:val="center"/>
          </w:tcPr>
          <w:p w14:paraId="45590307"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2021,129(4),E72-E86</w:t>
            </w:r>
          </w:p>
        </w:tc>
        <w:tc>
          <w:tcPr>
            <w:tcW w:w="776" w:type="dxa"/>
            <w:vAlign w:val="center"/>
          </w:tcPr>
          <w:p w14:paraId="699952F2"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2021</w:t>
            </w:r>
          </w:p>
        </w:tc>
        <w:tc>
          <w:tcPr>
            <w:tcW w:w="971" w:type="dxa"/>
            <w:vAlign w:val="top"/>
          </w:tcPr>
          <w:p w14:paraId="667C7D39">
            <w:pPr>
              <w:spacing w:after="0" w:line="240" w:lineRule="auto"/>
              <w:ind w:left="0" w:leftChars="0" w:firstLine="0" w:firstLineChars="0"/>
              <w:jc w:val="lef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Style w:val="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spacing w:val="0"/>
                <w:sz w:val="28"/>
                <w:szCs w:val="28"/>
                <w:bdr w:val="none" w:color="auto" w:sz="0" w:space="0"/>
                <w:shd w:val="clear" w:fill="FFFFFF"/>
                <w:vertAlign w:val="baseline"/>
              </w:rPr>
              <w:t>姜晓宏，张辰宇，王东进</w:t>
            </w:r>
          </w:p>
        </w:tc>
        <w:tc>
          <w:tcPr>
            <w:tcW w:w="953" w:type="dxa"/>
            <w:vAlign w:val="top"/>
          </w:tcPr>
          <w:p w14:paraId="5BD0D73C">
            <w:pPr>
              <w:spacing w:after="0" w:line="240" w:lineRule="auto"/>
              <w:ind w:left="0" w:leftChars="0" w:firstLine="0" w:firstLineChars="0"/>
              <w:jc w:val="lef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sz w:val="28"/>
                <w:szCs w:val="28"/>
              </w:rPr>
              <w:t>卫哲</w:t>
            </w:r>
          </w:p>
        </w:tc>
        <w:tc>
          <w:tcPr>
            <w:tcW w:w="993" w:type="dxa"/>
            <w:vAlign w:val="top"/>
          </w:tcPr>
          <w:p w14:paraId="56BC695F">
            <w:pPr>
              <w:spacing w:after="0" w:line="240" w:lineRule="auto"/>
              <w:ind w:left="0" w:leftChars="0" w:firstLine="0" w:firstLineChars="0"/>
              <w:jc w:val="lef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sz w:val="28"/>
                <w:szCs w:val="28"/>
              </w:rPr>
              <w:t>卫哲，庄皓舜，姜绮霞，唐宇航，徐金泓，王浩权，史言腾，崔乐，李菁，张玉婧，薛云星，李举堂，刘国庆，陈熹，王东进，张辰宇，姜晓宏</w:t>
            </w:r>
          </w:p>
        </w:tc>
        <w:tc>
          <w:tcPr>
            <w:tcW w:w="496" w:type="dxa"/>
            <w:vAlign w:val="center"/>
          </w:tcPr>
          <w:p w14:paraId="11B7BC1B"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否</w:t>
            </w:r>
          </w:p>
        </w:tc>
      </w:tr>
      <w:tr w14:paraId="6AB805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  <w:vAlign w:val="center"/>
          </w:tcPr>
          <w:p w14:paraId="18C007B9"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5</w:t>
            </w:r>
          </w:p>
        </w:tc>
        <w:tc>
          <w:tcPr>
            <w:tcW w:w="2876" w:type="dxa"/>
            <w:gridSpan w:val="2"/>
            <w:vAlign w:val="center"/>
          </w:tcPr>
          <w:p w14:paraId="4344B3C8"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  <w:p w14:paraId="2914689A"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Style w:val="6"/>
                <w:rFonts w:hint="eastAsia" w:ascii="宋体" w:hAnsi="宋体" w:eastAsia="宋体" w:cs="宋体"/>
                <w:sz w:val="28"/>
                <w:szCs w:val="28"/>
              </w:rPr>
              <w:t>Dioscin elevates lncRNA MANTIS in therapeutic angiogenesis for heart diseases</w:t>
            </w:r>
          </w:p>
        </w:tc>
        <w:tc>
          <w:tcPr>
            <w:tcW w:w="2876" w:type="dxa"/>
            <w:vAlign w:val="center"/>
          </w:tcPr>
          <w:p w14:paraId="291113E6"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sz w:val="28"/>
                <w:szCs w:val="28"/>
              </w:rPr>
              <w:t>2021,20(7):e13392.</w:t>
            </w:r>
          </w:p>
        </w:tc>
        <w:tc>
          <w:tcPr>
            <w:tcW w:w="776" w:type="dxa"/>
            <w:vAlign w:val="center"/>
          </w:tcPr>
          <w:p w14:paraId="077C5BF7"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20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21</w:t>
            </w:r>
          </w:p>
        </w:tc>
        <w:tc>
          <w:tcPr>
            <w:tcW w:w="971" w:type="dxa"/>
            <w:vAlign w:val="center"/>
          </w:tcPr>
          <w:p w14:paraId="2AD8BD11"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</w:rPr>
            </w:pPr>
            <w:r>
              <w:rPr>
                <w:rStyle w:val="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spacing w:val="0"/>
                <w:sz w:val="28"/>
                <w:szCs w:val="28"/>
                <w:bdr w:val="none" w:color="auto" w:sz="0" w:space="0"/>
                <w:shd w:val="clear" w:fill="FFFFFF"/>
                <w:vertAlign w:val="baseline"/>
              </w:rPr>
              <w:t>吕丘仑</w:t>
            </w:r>
          </w:p>
        </w:tc>
        <w:tc>
          <w:tcPr>
            <w:tcW w:w="953" w:type="dxa"/>
            <w:vAlign w:val="center"/>
          </w:tcPr>
          <w:p w14:paraId="123E62E0"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</w:rPr>
            </w:pPr>
            <w:r>
              <w:rPr>
                <w:rStyle w:val="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spacing w:val="0"/>
                <w:sz w:val="28"/>
                <w:szCs w:val="28"/>
                <w:bdr w:val="none" w:color="auto" w:sz="0" w:space="0"/>
                <w:shd w:val="clear" w:fill="FFFFFF"/>
                <w:vertAlign w:val="baseline"/>
              </w:rPr>
              <w:t>孔垂玉，吕大印</w:t>
            </w:r>
          </w:p>
        </w:tc>
        <w:tc>
          <w:tcPr>
            <w:tcW w:w="993" w:type="dxa"/>
            <w:vAlign w:val="center"/>
          </w:tcPr>
          <w:p w14:paraId="70853A38"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sz w:val="28"/>
                <w:szCs w:val="28"/>
              </w:rPr>
              <w:t>孔垂玉，吕大印，何畅，李蕊，吕丘仑</w:t>
            </w:r>
          </w:p>
        </w:tc>
        <w:tc>
          <w:tcPr>
            <w:tcW w:w="496" w:type="dxa"/>
            <w:vAlign w:val="center"/>
          </w:tcPr>
          <w:p w14:paraId="15A8CDEA"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否</w:t>
            </w:r>
          </w:p>
        </w:tc>
      </w:tr>
      <w:tr w14:paraId="2E7DBB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  <w:vAlign w:val="center"/>
          </w:tcPr>
          <w:p w14:paraId="60ADA94A"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6</w:t>
            </w:r>
          </w:p>
        </w:tc>
        <w:tc>
          <w:tcPr>
            <w:tcW w:w="2876" w:type="dxa"/>
            <w:gridSpan w:val="2"/>
            <w:vAlign w:val="center"/>
          </w:tcPr>
          <w:p w14:paraId="6F9EACA2"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Style w:val="6"/>
                <w:rFonts w:hint="eastAsia" w:ascii="宋体" w:hAnsi="宋体" w:eastAsia="宋体" w:cs="宋体"/>
                <w:sz w:val="28"/>
                <w:szCs w:val="28"/>
              </w:rPr>
              <w:t>Reviving Hearts, Restoring Lives: Long-Term Outcomes of Allogeneic iPSC-Cardiomyocytes Transplantation for Advanced Heart Failure Patients</w:t>
            </w:r>
          </w:p>
        </w:tc>
        <w:tc>
          <w:tcPr>
            <w:tcW w:w="2876" w:type="dxa"/>
            <w:vAlign w:val="center"/>
          </w:tcPr>
          <w:p w14:paraId="75D00F5C"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sz w:val="28"/>
                <w:szCs w:val="28"/>
              </w:rPr>
              <w:t>2025,10(3):253-255.</w:t>
            </w:r>
          </w:p>
        </w:tc>
        <w:tc>
          <w:tcPr>
            <w:tcW w:w="776" w:type="dxa"/>
            <w:vAlign w:val="center"/>
          </w:tcPr>
          <w:p w14:paraId="4B77E1ED"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202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971" w:type="dxa"/>
            <w:vAlign w:val="center"/>
          </w:tcPr>
          <w:p w14:paraId="071C0C31"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sz w:val="28"/>
                <w:szCs w:val="28"/>
              </w:rPr>
              <w:t>王东进</w:t>
            </w:r>
          </w:p>
        </w:tc>
        <w:tc>
          <w:tcPr>
            <w:tcW w:w="953" w:type="dxa"/>
            <w:vAlign w:val="center"/>
          </w:tcPr>
          <w:p w14:paraId="00AF1922"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sz w:val="28"/>
                <w:szCs w:val="28"/>
              </w:rPr>
              <w:t>张赫</w:t>
            </w:r>
            <w:bookmarkStart w:id="0" w:name="_GoBack"/>
            <w:bookmarkEnd w:id="0"/>
          </w:p>
        </w:tc>
        <w:tc>
          <w:tcPr>
            <w:tcW w:w="993" w:type="dxa"/>
            <w:vAlign w:val="center"/>
          </w:tcPr>
          <w:p w14:paraId="054F2633"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sz w:val="28"/>
                <w:szCs w:val="28"/>
              </w:rPr>
              <w:t>张赫，王谦，朱悉煜，薛云星，王嘉显，王东进</w:t>
            </w:r>
          </w:p>
        </w:tc>
        <w:tc>
          <w:tcPr>
            <w:tcW w:w="496" w:type="dxa"/>
            <w:vAlign w:val="center"/>
          </w:tcPr>
          <w:p w14:paraId="4B17D39F"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否</w:t>
            </w:r>
          </w:p>
        </w:tc>
      </w:tr>
    </w:tbl>
    <w:p w14:paraId="7EC2E8A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altName w:val="微软雅黑"/>
    <w:panose1 w:val="00000000000000000000"/>
    <w:charset w:val="86"/>
    <w:family w:val="script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Noto Sans SC">
    <w:panose1 w:val="020B0200000000000000"/>
    <w:charset w:val="86"/>
    <w:family w:val="auto"/>
    <w:pitch w:val="default"/>
    <w:sig w:usb0="20000083" w:usb1="2ADF3C10" w:usb2="00000016" w:usb3="00000000" w:csb0="60060107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4E30D9"/>
    <w:rsid w:val="4C4E3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hAnsi="Times New Roman" w:eastAsia="方正仿宋_GBK" w:cs="Times New Roman"/>
      <w:snapToGrid w:val="0"/>
      <w:kern w:val="0"/>
      <w:sz w:val="32"/>
      <w:szCs w:val="20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4"/>
    <w:qFormat/>
    <w:uiPriority w:val="0"/>
    <w:rPr>
      <w:b/>
    </w:rPr>
  </w:style>
  <w:style w:type="character" w:customStyle="1" w:styleId="6">
    <w:name w:val="rStyle4"/>
    <w:qFormat/>
    <w:uiPriority w:val="0"/>
    <w:rPr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2026-06-26T01:46:00Z</dcterms:created>
  <dc:creator>陌曦</dc:creator>
  <cp:lastModifiedBy>陌曦</cp:lastModifiedBy>
  <dcterms:modified xsi:type="dcterms:W3CDTF">2026-06-26T02:24:09Z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8E29BCE85159418580C4024FE7EA89D4_11</vt:lpwstr>
  </property>
  <property fmtid="{D5CDD505-2E9C-101B-9397-08002B2CF9AE}" pid="4" name="KSOTemplateDocerSaveRecord">
    <vt:lpwstr>eyJoZGlkIjoiZTFmMjdjMDVjNzA0NjVmYTQwNjc2MDE2MDU0MTBmOWUiLCJ1c2VySWQiOiIxMTA1NTYzODEyIn0=</vt:lpwstr>
  </property>
</Properties>
</file>